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Приложение N 21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953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953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953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953">
        <w:rPr>
          <w:rFonts w:ascii="Times New Roman" w:hAnsi="Times New Roman" w:cs="Times New Roman"/>
          <w:b/>
          <w:bCs/>
          <w:sz w:val="24"/>
          <w:szCs w:val="24"/>
        </w:rPr>
        <w:t>НА РАЗВИТИЕ СЕТИ УЧРЕЖДЕНИЙ КУЛЬТУРНО-ДОСУГОВОГО ТИПА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4455E" w:rsidRPr="00F31953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55E" w:rsidRPr="00F31953" w:rsidRDefault="00E4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55E" w:rsidRPr="00F31953" w:rsidRDefault="00E4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455E" w:rsidRPr="00F31953" w:rsidRDefault="00E4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F31953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E4455E" w:rsidRPr="00F31953" w:rsidRDefault="00E4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F31953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 w:history="1">
              <w:r w:rsidRPr="00F319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F31953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21.02.2022 N 30-ПП)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55E" w:rsidRPr="00F31953" w:rsidRDefault="00E44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2"/>
      <w:bookmarkEnd w:id="0"/>
      <w:r w:rsidRPr="00F31953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порядок, цели и условия формирования, предоставления и распределения субсидий из республиканского бюджета Кабардино-Балкарской Республики местным бюджетам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региональных проектов, обеспечивающих достижение показателей и результатов регионального проекта "Культурная среда", входящего в состав национального </w:t>
      </w:r>
      <w:hyperlink r:id="rId5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проекта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"Культура" (далее - субсидии), и предусматривающих:</w:t>
      </w:r>
      <w:bookmarkStart w:id="1" w:name="_GoBack"/>
      <w:bookmarkEnd w:id="1"/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а) создание и модернизацию учреждений культурно-досугового типа в сельской местности, включая строительство, реконструкцию и капитальный ремонт зданий;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б) создание центров культурного развития в субъектах Российской Федерации в городах с числом жителей до 300 тыс. человек (далее - создание центров культурного развития).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2. Понятие "сельская местность", используемое в настоящих Правилах, означает сельские поселения и межселенные территории, объединенные общей территорией в границах муниципального района, а также сельские населенные пункты, входящие в состав муниципальных районов и городских округов (за исключением городского округа Нальчик). Перечень сельских населенных пунктов на территории Кабардино-Балкарской Республики определяется Правительством Кабардино-Балкарской Республики.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3. Субсидии предоставляются местным бюджетам в пределах лимитов бюджетных обязательств, доведенных в установленном порядке до Министерства культуры Кабардино-Балкарской Республики как получателя средств республиканского бюджета Кабардино-Балкарской Республики на предоставление субсидии на цели, предусмотренные </w:t>
      </w:r>
      <w:hyperlink w:anchor="Par12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4. Субсидии не предоставляются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корректировке проектно-сметной документации в части привязки муниципальными образованиями проектов к местности, благоустройства территории, прилегающей к объекту капитального строительства, подключению к инженерным сетям, по закупке и установке оборудования, мебели, компьютерной и оргтехники.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5. Отбор муниципальных образований для предоставления субсидии осуществляется на основании следующих критериев: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наличие заявки муниципального образования о предоставлении субсидии, подписанной главой местной администрации муниципального образования либо уполномоченным должностным лицом;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lastRenderedPageBreak/>
        <w:t>наличие гарантии местной администрации муниципального образования о последующем профильном использовании учреждения культурно-досугового типа или центра культурного развития;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обязательство муниципального образования обеспечить завершение строительства (реконструкции) и (или) капитального ремонта учреждения культурно-досугового типа или центра культурного развития и ввод его в эксплуатацию в установленные сроки (в соответствии с паспортом инвестиционного проекта по форме, утвержденной Министерством экономического развития Российской Федерации), но не позднее 2024 года;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наличие положительных заключений по результатам проверок инвестиционных проектов на предмет эффективности использования бюджетных средств, проводимых в порядке, установленном </w:t>
      </w:r>
      <w:hyperlink r:id="rId6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вложения, утвержденными постановлением Правительства Российской Федерации от 12 августа 2008 г. N 590 "О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вложения", и нормативными правовыми актами Кабардино-Балкарской Республики.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Для предоставления субсидии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обязательств, указанных в </w:t>
      </w:r>
      <w:hyperlink w:anchor="Par12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настоящих Правил, отбор муниципальных образований осуществляется на основании решения Министерства культуры Российской Федерации.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6. Общий размер субсидии, предоставляемой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местному бюджету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указанных в пункте 1 настоящих Правил, (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1953">
        <w:rPr>
          <w:rFonts w:ascii="Times New Roman" w:hAnsi="Times New Roman" w:cs="Times New Roman"/>
          <w:sz w:val="24"/>
          <w:szCs w:val="24"/>
        </w:rPr>
        <w:t>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= 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31953">
        <w:rPr>
          <w:rFonts w:ascii="Times New Roman" w:hAnsi="Times New Roman" w:cs="Times New Roman"/>
          <w:sz w:val="24"/>
          <w:szCs w:val="24"/>
        </w:rPr>
        <w:t xml:space="preserve"> + 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31953">
        <w:rPr>
          <w:rFonts w:ascii="Times New Roman" w:hAnsi="Times New Roman" w:cs="Times New Roman"/>
          <w:sz w:val="24"/>
          <w:szCs w:val="24"/>
        </w:rPr>
        <w:t>,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где: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31953">
        <w:rPr>
          <w:rFonts w:ascii="Times New Roman" w:hAnsi="Times New Roman" w:cs="Times New Roman"/>
          <w:sz w:val="24"/>
          <w:szCs w:val="24"/>
        </w:rPr>
        <w:t xml:space="preserve">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местному бюджету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созданию и модернизации учреждений культурно-досугового типа в сельской местности;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31953">
        <w:rPr>
          <w:rFonts w:ascii="Times New Roman" w:hAnsi="Times New Roman" w:cs="Times New Roman"/>
          <w:sz w:val="24"/>
          <w:szCs w:val="24"/>
        </w:rPr>
        <w:t xml:space="preserve"> - расчетный размер бюджетных ассигнований республиканского бюджета Кабардино-Балкарской Республики на предоставление субсидии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местному бюджету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созданию центров культурного развития.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"/>
      <w:bookmarkEnd w:id="2"/>
      <w:r w:rsidRPr="00F31953">
        <w:rPr>
          <w:rFonts w:ascii="Times New Roman" w:hAnsi="Times New Roman" w:cs="Times New Roman"/>
          <w:sz w:val="24"/>
          <w:szCs w:val="24"/>
        </w:rPr>
        <w:t>7. Размер субсидии на создание и модернизацию учреждений культурно-досугового типа в сельской местности, предоставляемой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местному бюджету (V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31953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noProof/>
          <w:position w:val="-61"/>
          <w:sz w:val="24"/>
          <w:szCs w:val="24"/>
          <w:lang w:eastAsia="ru-RU"/>
        </w:rPr>
        <w:drawing>
          <wp:inline distT="0" distB="0" distL="0" distR="0">
            <wp:extent cx="3017520" cy="922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где: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31953">
        <w:rPr>
          <w:rFonts w:ascii="Times New Roman" w:hAnsi="Times New Roman" w:cs="Times New Roman"/>
          <w:sz w:val="24"/>
          <w:szCs w:val="24"/>
        </w:rPr>
        <w:t xml:space="preserve">общ - объем бюджетных ассигнований, предусмотренный в республиканском бюджете Кабардино-Балкарской Республики на соответствующий финансовый год на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</w:t>
      </w:r>
      <w:r w:rsidRPr="00F31953">
        <w:rPr>
          <w:rFonts w:ascii="Times New Roman" w:hAnsi="Times New Roman" w:cs="Times New Roman"/>
          <w:sz w:val="24"/>
          <w:szCs w:val="24"/>
        </w:rPr>
        <w:lastRenderedPageBreak/>
        <w:t>мероприятий по созданию и модернизации учреждений культурно-досугового типа в сельской местности;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ДСНi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- удельный вес численности сельского населения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общей численности сельского населения Кабардино-Балкарской Республики согласно данным Федеральной службы государственной статистики;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Кобi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- коэффициент отклонения уровня обеспеченности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от среднего уровня по сельской местности в Кабардино-Балкарской Республике;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ПрФБi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m - количество муниципальных образований, заявки на получение субсидии которых соответствуют критериям отбора муниципальных образований для предоставления субсидии.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8. В случае если уровень обеспеченности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учреждениями культурно-досугового типа в 2 и более раза больше среднего по сельской местности Кабардино-Балкарской Республики уровня обеспеченности учреждениями культурно-досугового типа, в формуле, указанной в </w:t>
      </w:r>
      <w:hyperlink w:anchor="Par31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настоящих Правил, для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применяется наименьшее значение коэффициента отклонения указанного уровня в Кабардино-Балкарской Республике.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Высвобождающиеся средства перераспределяются между муниципальными образованиями, имеющими право на получение субсидий в соответствии с настоящими Правилами, пропорционально размеру субсидий, определяемому в соответствии с пунктом 7 настоящих Правил, в пределах расчетного размера средств республиканского бюджета Кабардино-Балкарской Республики на предоставление субсидии на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указанного в подпункте "а" пункта 1 настоящих Правил.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9. Размер субсидии на создание центров культурного развития, предоставляемой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местному бюджету (V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31953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>
            <wp:extent cx="1059180" cy="3352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55E" w:rsidRPr="00F31953" w:rsidRDefault="00E4455E" w:rsidP="00E44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где: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53">
        <w:rPr>
          <w:rFonts w:ascii="Times New Roman" w:hAnsi="Times New Roman" w:cs="Times New Roman"/>
          <w:sz w:val="24"/>
          <w:szCs w:val="24"/>
        </w:rPr>
        <w:t>Sm</w:t>
      </w:r>
      <w:r w:rsidRPr="00F31953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- сметная стоимость j-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 (для новых объектов капитального строительства) или остаток сметной стоимости j-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 (для продолжающихся объектов капитального строительства) в i-м муниципальном образовании на соответствующий год в соответствии с паспортом инвестиционного проекта по форме, установленной Министерством экономического развития Российской Федерации;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j - порядковый номер объекта капитального строительства, присвоенный на этапе сбора и обработки заявок муниципальных образований на получение субсидии (j = </w:t>
      </w:r>
      <w:proofErr w:type="gramStart"/>
      <w:r w:rsidRPr="00F31953">
        <w:rPr>
          <w:rFonts w:ascii="Times New Roman" w:hAnsi="Times New Roman" w:cs="Times New Roman"/>
          <w:sz w:val="24"/>
          <w:szCs w:val="24"/>
        </w:rPr>
        <w:t>1,...</w:t>
      </w:r>
      <w:proofErr w:type="gramEnd"/>
      <w:r w:rsidRPr="00F31953">
        <w:rPr>
          <w:rFonts w:ascii="Times New Roman" w:hAnsi="Times New Roman" w:cs="Times New Roman"/>
          <w:sz w:val="24"/>
          <w:szCs w:val="24"/>
        </w:rPr>
        <w:t xml:space="preserve"> m, где m - общее количество объектов капитального строительства в соответствии с заявками i-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муниципальных образований на получение субсидий, которые соответствуют установленным критериям отбора).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10. Условиями предоставления субсидии являются: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а) наличие правовых актов муниципальных образований, утверждающих перечень мероприятий,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в соответствии с требованиями нормативных правовых актов Российской Федерации;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б) наличие в местном бюджете бюджетных ассигнований на исполнение расходного обязательства муниципального образования,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в объеме, необходимом для его исполнения, если иное не установлено актами Главы Кабардино-Балкарской Республики или Правительства Кабардино-Балкарской Республики;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Министерством культуры Кабардино-Балкарской Республики и местной администрацией муниципального образования о предоставлении субсидии (далее - соглашение) в соответствии с </w:t>
      </w:r>
      <w:hyperlink r:id="rId9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- Правила формирования, предоставления и распределения субсидий).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11. Субсидия предоставляется местному бюджету в соответствии с соглашением, подготавливаемым (формируемым) и заключаемым с использованием государственной интегрированной информационной системы управления общественными финансами "Электронный бюджет" (далее - система "Электронный бюджет") в соответствии с типовой формой соглашения, утвержденной Министерством финансов Кабардино-Балкарской Республики.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12. Субсидия предоставляется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указанных в </w:t>
      </w:r>
      <w:hyperlink w:anchor="Par12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13. Объем бюджетных ассигнований, предусмотренных в местном бюджете на исполнение расходного обязательства муниципального образования,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Кабардино-Балкарской Республики,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В случае предоставления субсидии по нескольким расходным обязательствам муниципальных образований, указанным в </w:t>
      </w:r>
      <w:hyperlink w:anchor="Par12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настоящих Правил, допускается применение различных уровней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из республиканского бюджета Кабардино-Балкарской Республики.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При этом превышение уровня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в целом по расходным обязательствам муниципальных образований над предельным уровнем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не допускается.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14. Оценка эффективности использования субсидий, предоставляемых муниципальным образованиям в целях </w:t>
      </w:r>
      <w:proofErr w:type="spellStart"/>
      <w:r w:rsidRPr="00F3195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31953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регионального проекта "Культурная среда", осуществляется Министерством культуры Кабардино-Балкарской Республики по итогам финансового года путем сравнения фактически достигнутых значений и установленных соглашением значений следующих результатов использования субсидии: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а) количество созданных и модернизированных учреждений культурно-досугового типа в сельской местности путем строительства, реконструкции и капитального ремонта зданий;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б) количество созданных центров культурного развития в муниципальных образованиях.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15. Перечисление субсидии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16. Ответственность за достоверность представляемых Министерству культуры Кабардино-Балкарской Республики сведений возлагается на местную администрацию муниципального образования.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 xml:space="preserve">17. Порядок и условия возврата средств из местного бюджета в республиканский бюджет Кабардино-Балкарской Республики в случае нарушения обязательств муниципального образования по достижению значений результатов использования субсидии, предусмотренных соглашением, а также основания для освобождения муниципального образования от применения мер финансовой ответственности предусмотрены </w:t>
      </w:r>
      <w:hyperlink r:id="rId10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F31953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F31953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18. В случае нарушения муниципальным образованием целей, установленных при предоставлении субсидии, к нему применяются бюджетные меры принуждения в соответствии с бюджетным законодательством Российской Федерации.</w:t>
      </w:r>
    </w:p>
    <w:p w:rsidR="00E4455E" w:rsidRPr="00F31953" w:rsidRDefault="00E4455E" w:rsidP="00E4455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953">
        <w:rPr>
          <w:rFonts w:ascii="Times New Roman" w:hAnsi="Times New Roman" w:cs="Times New Roman"/>
          <w:sz w:val="24"/>
          <w:szCs w:val="24"/>
        </w:rPr>
        <w:t>19. Контроль за соблюдением муниципальными образованиями порядка, целей и условий предоставления субсидий осуществляется Министерством культуры Кабардино-Балкарской Республики и уполномоченными органами государственного финансового контроля.</w:t>
      </w:r>
    </w:p>
    <w:p w:rsidR="009A6D81" w:rsidRPr="00F31953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F31953" w:rsidSect="00692E0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55E"/>
    <w:rsid w:val="003A02E8"/>
    <w:rsid w:val="009A6D81"/>
    <w:rsid w:val="00E4455E"/>
    <w:rsid w:val="00F3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49AC6-CC98-4343-B4C3-B3EF7FAA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86F644FF84AD26303E00BC57BB88137D31D0EC12D6D9E1FFA607A3DE09A6784DAA46354C742E2CFBFBAE27039ADEDFA77439088EA3368Aj5b6J" TargetMode="External"/><Relationship Id="rId11" Type="http://schemas.openxmlformats.org/officeDocument/2006/relationships/hyperlink" Target="consultantplus://offline/ref=4886F644FF84AD26303E1EB141D7D51E7D3B8EE813D5D1B4A5F95CFE8900AC2F0AE51F7708792F2DF8F1F8714C9B829AF067390A8EA0369656FE46jDbFJ" TargetMode="External"/><Relationship Id="rId5" Type="http://schemas.openxmlformats.org/officeDocument/2006/relationships/hyperlink" Target="consultantplus://offline/ref=4886F644FF84AD26303E00BC57BB88137A31D9E716D5D9E1FFA607A3DE09A6785FAA1E394D76302CF8EEF87645jCbDJ" TargetMode="External"/><Relationship Id="rId10" Type="http://schemas.openxmlformats.org/officeDocument/2006/relationships/hyperlink" Target="consultantplus://offline/ref=4886F644FF84AD26303E1EB141D7D51E7D3B8EE813D5D1B4A5F95CFE8900AC2F0AE51F7708792F2DF8F0FC744C9B829AF067390A8EA0369656FE46jDbFJ" TargetMode="External"/><Relationship Id="rId4" Type="http://schemas.openxmlformats.org/officeDocument/2006/relationships/hyperlink" Target="consultantplus://offline/ref=4886F644FF84AD26303E1EB141D7D51E7D3B8EE81ED5D5B5A2F95CFE8900AC2F0AE51F7708792F2DFBF7FC714C9B829AF067390A8EA0369656FE46jDbFJ" TargetMode="External"/><Relationship Id="rId9" Type="http://schemas.openxmlformats.org/officeDocument/2006/relationships/hyperlink" Target="consultantplus://offline/ref=4886F644FF84AD26303E1EB141D7D51E7D3B8EE813D5D1B4A5F95CFE8900AC2F0AE51F7708792F2DF8F0FE754C9B829AF067390A8EA0369656FE46jDb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2022-10-12T09:25:00Z</dcterms:created>
  <dcterms:modified xsi:type="dcterms:W3CDTF">2022-10-16T10:48:00Z</dcterms:modified>
</cp:coreProperties>
</file>